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C5C" w:rsidRPr="00CC3E4C" w:rsidRDefault="009F3D49" w:rsidP="00F15524">
      <w:pPr>
        <w:pStyle w:val="a3"/>
        <w:spacing w:line="500" w:lineRule="exact"/>
        <w:jc w:val="center"/>
        <w:rPr>
          <w:rFonts w:ascii="微软雅黑" w:eastAsia="微软雅黑" w:hAnsi="微软雅黑" w:cs="宋体"/>
          <w:b/>
          <w:color w:val="7030A0"/>
          <w:sz w:val="40"/>
          <w:szCs w:val="40"/>
        </w:rPr>
      </w:pPr>
      <w:r w:rsidRPr="00CC3E4C">
        <w:rPr>
          <w:rFonts w:ascii="微软雅黑" w:eastAsia="微软雅黑" w:hAnsi="微软雅黑" w:cs="宋体" w:hint="eastAsia"/>
          <w:b/>
          <w:color w:val="7030A0"/>
          <w:sz w:val="40"/>
          <w:szCs w:val="40"/>
        </w:rPr>
        <w:t>最高人民法院</w:t>
      </w:r>
      <w:bookmarkStart w:id="0" w:name="_GoBack"/>
      <w:bookmarkEnd w:id="0"/>
    </w:p>
    <w:p w:rsidR="009F3D49" w:rsidRPr="00CC3E4C" w:rsidRDefault="009F3D49" w:rsidP="00F15524">
      <w:pPr>
        <w:pStyle w:val="a3"/>
        <w:spacing w:line="500" w:lineRule="exact"/>
        <w:jc w:val="center"/>
        <w:rPr>
          <w:rFonts w:ascii="微软雅黑" w:eastAsia="微软雅黑" w:hAnsi="微软雅黑" w:cs="宋体"/>
          <w:b/>
          <w:color w:val="7030A0"/>
          <w:sz w:val="40"/>
          <w:szCs w:val="40"/>
        </w:rPr>
      </w:pPr>
      <w:r w:rsidRPr="00CC3E4C">
        <w:rPr>
          <w:rFonts w:ascii="微软雅黑" w:eastAsia="微软雅黑" w:hAnsi="微软雅黑" w:cs="宋体" w:hint="eastAsia"/>
          <w:b/>
          <w:color w:val="7030A0"/>
          <w:sz w:val="40"/>
          <w:szCs w:val="40"/>
        </w:rPr>
        <w:t>关于人民法院民事执行中拍卖、变卖财产的规定</w:t>
      </w:r>
    </w:p>
    <w:p w:rsidR="007B1861" w:rsidRDefault="007B1861" w:rsidP="00F15524">
      <w:pPr>
        <w:pStyle w:val="a3"/>
        <w:spacing w:line="240" w:lineRule="exact"/>
        <w:jc w:val="left"/>
        <w:rPr>
          <w:rFonts w:ascii="微软雅黑" w:eastAsia="微软雅黑" w:hAnsi="微软雅黑" w:cs="宋体"/>
          <w:sz w:val="20"/>
          <w:szCs w:val="20"/>
        </w:rPr>
      </w:pPr>
    </w:p>
    <w:p w:rsidR="00A91C5C" w:rsidRPr="00A91C5C" w:rsidRDefault="00A91C5C" w:rsidP="00A91C5C">
      <w:pPr>
        <w:pStyle w:val="a3"/>
        <w:spacing w:line="240" w:lineRule="exact"/>
        <w:jc w:val="center"/>
        <w:rPr>
          <w:rFonts w:ascii="微软雅黑" w:eastAsia="微软雅黑" w:hAnsi="微软雅黑" w:cs="宋体"/>
          <w:sz w:val="22"/>
          <w:szCs w:val="22"/>
        </w:rPr>
      </w:pPr>
      <w:r w:rsidRPr="00A91C5C">
        <w:rPr>
          <w:rFonts w:ascii="微软雅黑" w:eastAsia="微软雅黑" w:hAnsi="微软雅黑" w:cs="宋体" w:hint="eastAsia"/>
          <w:sz w:val="22"/>
          <w:szCs w:val="22"/>
        </w:rPr>
        <w:t>2021-01-01</w:t>
      </w:r>
    </w:p>
    <w:p w:rsidR="00A91C5C" w:rsidRPr="00F15524" w:rsidRDefault="00A91C5C" w:rsidP="00F15524">
      <w:pPr>
        <w:pStyle w:val="a3"/>
        <w:spacing w:line="240" w:lineRule="exact"/>
        <w:jc w:val="left"/>
        <w:rPr>
          <w:rFonts w:ascii="微软雅黑" w:eastAsia="微软雅黑" w:hAnsi="微软雅黑" w:cs="宋体"/>
          <w:sz w:val="20"/>
          <w:szCs w:val="20"/>
        </w:rPr>
      </w:pPr>
    </w:p>
    <w:p w:rsidR="009F3D49" w:rsidRPr="00A91C5C" w:rsidRDefault="009F3D49" w:rsidP="00A91C5C">
      <w:pPr>
        <w:pStyle w:val="a3"/>
        <w:spacing w:line="240" w:lineRule="exact"/>
        <w:ind w:leftChars="200" w:left="420" w:rightChars="200" w:right="420" w:firstLineChars="200" w:firstLine="420"/>
        <w:jc w:val="left"/>
        <w:rPr>
          <w:rFonts w:ascii="微软雅黑" w:eastAsia="微软雅黑" w:hAnsi="微软雅黑" w:cs="宋体"/>
        </w:rPr>
      </w:pPr>
      <w:r w:rsidRPr="00A91C5C">
        <w:rPr>
          <w:rFonts w:ascii="微软雅黑" w:eastAsia="微软雅黑" w:hAnsi="微软雅黑" w:cs="宋体" w:hint="eastAsia"/>
        </w:rPr>
        <w:t>（2004年10月26日最高人民法院审判委员会第1330次会议通过，根据2020年12月23日最高人民法院审判委员会第1823次会议通过的《最高人民法院关于修改〈最高人民法院关于人民法院扣押铁路运输货物若干问题的规定〉等十八件执行类司法解释的决定》修正）</w:t>
      </w:r>
      <w:r w:rsidR="00F15524" w:rsidRPr="00A91C5C">
        <w:rPr>
          <w:rFonts w:ascii="微软雅黑" w:eastAsia="微软雅黑" w:hAnsi="微软雅黑" w:cs="宋体" w:hint="eastAsia"/>
        </w:rPr>
        <w:t>，自2021年1月1日起执行。</w:t>
      </w:r>
    </w:p>
    <w:p w:rsidR="009F3D49" w:rsidRPr="00F15524" w:rsidRDefault="009F3D49" w:rsidP="00F15524">
      <w:pPr>
        <w:pStyle w:val="a3"/>
        <w:spacing w:line="240" w:lineRule="exact"/>
        <w:jc w:val="center"/>
        <w:rPr>
          <w:rFonts w:ascii="微软雅黑" w:eastAsia="微软雅黑" w:hAnsi="微软雅黑" w:cs="宋体"/>
          <w:sz w:val="22"/>
          <w:szCs w:val="22"/>
        </w:rPr>
      </w:pPr>
    </w:p>
    <w:p w:rsidR="009F3D49" w:rsidRPr="00A91C5C" w:rsidRDefault="007B1861"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009F3D49" w:rsidRPr="00A91C5C">
        <w:rPr>
          <w:rFonts w:ascii="微软雅黑" w:eastAsia="微软雅黑" w:hAnsi="微软雅黑" w:cs="宋体" w:hint="eastAsia"/>
          <w:sz w:val="24"/>
          <w:szCs w:val="24"/>
        </w:rPr>
        <w:t>为了进一步规范民事执行中的拍卖、变卖措施，维护当事人的合法权益，根据《中华人民共和国民事诉讼法》等法律的规定，结合人民法院民事执行工作的实践经验，制定本规定。</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第一条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在执行程序中，被执行人的财产被查封、扣押、冻结后，人民法院应当及时进行拍卖、变卖或者采取其他执行措施。</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第二条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人民法院对查封、扣押、冻结的财产进行变价处理时，应当首先采取拍卖的方式，但法律、司法解释另有规定的除外。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第三条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人民法院拍卖被执行人财产，应当委托具有相应资质的拍卖机构进行，并对拍卖机构的拍卖进行监督，但法律、司法解释另有规定的除外。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第四条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对拟拍卖的财产，人民法院可以委托具有相应资质的评估机构进行价格评估。对于财产价值较低或者价格依照通常方法容易确定的，可以不进行评估。</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当事人双方及其他执行债权人申请不进行评估的，人民法院应当准许。</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对被执行人的股权进行评估时，人民法院可以责令有关企业提供会计报表等资料；有关企业拒不提供的，可以强制提取。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第五条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拍卖应当确定保留价。</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拍卖财产经过评估的，评估价即为第一次拍卖的保留价；未作评估的，保留价由人民法院参照市价确定，并应当征询有关当事人的意见。</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如果出现流拍，再行拍卖时，可以酌情降低保留价，但每次降低的数额不得超过前次保留价的百分之二十。</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第六条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保留价确定后，依据本次拍卖保留价计算，拍卖所得价款在清偿优先债权和强制执行费用后无剩余可能的，应当在实施拍卖前将有关情况通知申请执行人。申请执行人于收到通知后五日内申请继续拍卖的，人民法院应当准许，但应当重新确定保留价；重新确定的保留价应当大于该优先债权及强制执行费用的总额。</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依照前款规定流拍的，拍卖费用由申请执行人负担。</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第七条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执行人员应当对拍卖财产的权属状况、占有使用情况等进行必要的调查，制作拍卖财产现状的调查笔录或者收集其他有关资料。</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第八条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拍卖应当先期公告。</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拍卖动产的，应当在拍卖七日前公告；拍卖不动产或者其他财产权的，应当在拍卖十五日前公告。</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第九条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拍卖公告的范围及媒体由当事人双方协商确定；协商不成的，由人民法院确定。拍卖财产具有专业属性的，应当同时在专业性报纸上进行公告。</w:t>
      </w:r>
    </w:p>
    <w:p w:rsidR="009F3D49" w:rsidRPr="00A91C5C" w:rsidRDefault="00F15524"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当事人申请在其他新闻媒体上公告或</w:t>
      </w:r>
      <w:r w:rsidR="009F3D49" w:rsidRPr="00A91C5C">
        <w:rPr>
          <w:rFonts w:ascii="微软雅黑" w:eastAsia="微软雅黑" w:hAnsi="微软雅黑" w:cs="宋体" w:hint="eastAsia"/>
          <w:sz w:val="24"/>
          <w:szCs w:val="24"/>
        </w:rPr>
        <w:t>要求扩大公告范围的，应当准许，但该部分的公告费用由其自行承担。</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第十条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不动产、其他财产权或者价值较高的动产的，竞买人应当于拍卖前向人民法院预交保证金。申请执行人参加竞买的，可以不预交保证金。保证金的数额由人民法院确定，但不得低于评估价或者市价的百分之五。</w:t>
      </w:r>
    </w:p>
    <w:p w:rsidR="009F3D49" w:rsidRDefault="009F3D49" w:rsidP="00A91C5C">
      <w:pPr>
        <w:pStyle w:val="a3"/>
        <w:spacing w:line="340" w:lineRule="exact"/>
        <w:ind w:firstLine="480"/>
        <w:rPr>
          <w:rFonts w:ascii="微软雅黑" w:eastAsia="微软雅黑" w:hAnsi="微软雅黑" w:cs="宋体"/>
          <w:sz w:val="24"/>
          <w:szCs w:val="24"/>
        </w:rPr>
      </w:pPr>
      <w:r w:rsidRPr="00A91C5C">
        <w:rPr>
          <w:rFonts w:ascii="微软雅黑" w:eastAsia="微软雅黑" w:hAnsi="微软雅黑" w:cs="宋体" w:hint="eastAsia"/>
          <w:sz w:val="24"/>
          <w:szCs w:val="24"/>
        </w:rPr>
        <w:t>应当预交保证金而未交纳的，不得参加竞买。拍卖成交后，买受人预交的保证金充抵价款，其他竞买人预交的保证金应当在三日内退还；拍卖未成交的，保证金应当于三日内退还竞买人。</w:t>
      </w:r>
    </w:p>
    <w:p w:rsidR="00A91C5C" w:rsidRPr="00A91C5C" w:rsidRDefault="00A91C5C" w:rsidP="00A91C5C">
      <w:pPr>
        <w:pStyle w:val="a3"/>
        <w:spacing w:line="340" w:lineRule="exact"/>
        <w:ind w:firstLine="480"/>
        <w:rPr>
          <w:rFonts w:ascii="微软雅黑" w:eastAsia="微软雅黑" w:hAnsi="微软雅黑" w:cs="宋体"/>
          <w:sz w:val="24"/>
          <w:szCs w:val="24"/>
        </w:rPr>
      </w:pP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lastRenderedPageBreak/>
        <w:t xml:space="preserve">　　</w:t>
      </w:r>
      <w:r w:rsidRPr="00A91C5C">
        <w:rPr>
          <w:rFonts w:ascii="微软雅黑" w:eastAsia="微软雅黑" w:hAnsi="微软雅黑" w:cs="宋体" w:hint="eastAsia"/>
          <w:b/>
          <w:sz w:val="24"/>
          <w:szCs w:val="24"/>
        </w:rPr>
        <w:t>第十一条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人民法院应当在拍卖五日前以书面或者其他能够确认收悉的适当方式，通知当事人和已知的担保物权人、优先购买权人或者其他优先权人于拍卖日到场。</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优先购买权人经通知未到场的，视为放弃优先购买权。</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第十二条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法律、行政法规对买受人的资格或者条件有特殊规定的，竞买人应当具备规定的资格或者条件。</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申请执行人、被执行人可以参加竞买。</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第十三条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拍卖过程中，有最高应价时，优先购买权人可以表示以该</w:t>
      </w:r>
      <w:proofErr w:type="gramStart"/>
      <w:r w:rsidRPr="00A91C5C">
        <w:rPr>
          <w:rFonts w:ascii="微软雅黑" w:eastAsia="微软雅黑" w:hAnsi="微软雅黑" w:cs="宋体" w:hint="eastAsia"/>
          <w:sz w:val="24"/>
          <w:szCs w:val="24"/>
        </w:rPr>
        <w:t>最</w:t>
      </w:r>
      <w:proofErr w:type="gramEnd"/>
      <w:r w:rsidRPr="00A91C5C">
        <w:rPr>
          <w:rFonts w:ascii="微软雅黑" w:eastAsia="微软雅黑" w:hAnsi="微软雅黑" w:cs="宋体" w:hint="eastAsia"/>
          <w:sz w:val="24"/>
          <w:szCs w:val="24"/>
        </w:rPr>
        <w:t>高价买受，如无更高应价，</w:t>
      </w:r>
      <w:proofErr w:type="gramStart"/>
      <w:r w:rsidRPr="00A91C5C">
        <w:rPr>
          <w:rFonts w:ascii="微软雅黑" w:eastAsia="微软雅黑" w:hAnsi="微软雅黑" w:cs="宋体" w:hint="eastAsia"/>
          <w:sz w:val="24"/>
          <w:szCs w:val="24"/>
        </w:rPr>
        <w:t>则拍归优</w:t>
      </w:r>
      <w:proofErr w:type="gramEnd"/>
      <w:r w:rsidRPr="00A91C5C">
        <w:rPr>
          <w:rFonts w:ascii="微软雅黑" w:eastAsia="微软雅黑" w:hAnsi="微软雅黑" w:cs="宋体" w:hint="eastAsia"/>
          <w:sz w:val="24"/>
          <w:szCs w:val="24"/>
        </w:rPr>
        <w:t>先购买权人；如有更高应价，而优先购买权人不作表示的，</w:t>
      </w:r>
      <w:proofErr w:type="gramStart"/>
      <w:r w:rsidRPr="00A91C5C">
        <w:rPr>
          <w:rFonts w:ascii="微软雅黑" w:eastAsia="微软雅黑" w:hAnsi="微软雅黑" w:cs="宋体" w:hint="eastAsia"/>
          <w:sz w:val="24"/>
          <w:szCs w:val="24"/>
        </w:rPr>
        <w:t>则拍归该应价</w:t>
      </w:r>
      <w:proofErr w:type="gramEnd"/>
      <w:r w:rsidRPr="00A91C5C">
        <w:rPr>
          <w:rFonts w:ascii="微软雅黑" w:eastAsia="微软雅黑" w:hAnsi="微软雅黑" w:cs="宋体" w:hint="eastAsia"/>
          <w:sz w:val="24"/>
          <w:szCs w:val="24"/>
        </w:rPr>
        <w:t>最高的竞买人。</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顺序相同的多个优先购买权人同时表示买受的，以抽签方式决定买受人。</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第十四条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拍卖多项财产时，其中部分财产卖得的价款足以清偿债务和支付被执行人应当负担的费用的，对剩余的财产应当停止拍卖，但被执行人同意全部拍卖的除外。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第十五条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拍卖的多项财产在使用上不可分，或者分别拍卖可能严重减损其价值的，应当合并拍卖。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第十六条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拍卖时无人竞买或者竞买人的最高应价低于保留价，到场的申请执行人或者其他执行债权人申请或者同意以该次拍卖所定的保留</w:t>
      </w:r>
      <w:proofErr w:type="gramStart"/>
      <w:r w:rsidRPr="00A91C5C">
        <w:rPr>
          <w:rFonts w:ascii="微软雅黑" w:eastAsia="微软雅黑" w:hAnsi="微软雅黑" w:cs="宋体" w:hint="eastAsia"/>
          <w:sz w:val="24"/>
          <w:szCs w:val="24"/>
        </w:rPr>
        <w:t>价接受</w:t>
      </w:r>
      <w:proofErr w:type="gramEnd"/>
      <w:r w:rsidRPr="00A91C5C">
        <w:rPr>
          <w:rFonts w:ascii="微软雅黑" w:eastAsia="微软雅黑" w:hAnsi="微软雅黑" w:cs="宋体" w:hint="eastAsia"/>
          <w:sz w:val="24"/>
          <w:szCs w:val="24"/>
        </w:rPr>
        <w:t>拍卖财产的，应当将该财产交其抵债。</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有两个以上执行债权人申请以拍卖财产抵债的，由法定受偿顺位在先的债权人优先承受；受偿顺位相同的，以抽签方式决定承受人。承受人应受清偿的债权额低于抵债财产的价额的，人民法院应当责令其在指定的期间内补交差额。</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第十七条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在拍卖开始前，有下列情形之一的，人民法院应当撤回拍卖委托：</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（一）据以执行的生效法律文书被撤销的；</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（二）申请执行人及其他执行债权人撤回执行申请的；</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（三）被执行人全部履行了法律文书确定的金钱债务的；</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（四）当事人达成了执行和解协议，不需要拍卖财产的；</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（五）案外人对拍卖财产提出确有理由的异议的；</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（六）拍卖机构与竞买人恶意串通的；</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（七）其他应当撤回拍卖委托的情形。</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第十八条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人民法院委托拍卖后，遇有依法应当暂缓执行或者中止执行的情形的，应当决定暂缓执行或者裁定中止执行，并及时通知拍卖机构和当事人。拍卖机构收到通知后，应当立即停止拍卖，并通知竞买人。</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暂缓执行期限届满或者中止执行的事由消失后，需要继续拍卖的，人民法院应当在十五日内通知拍卖机构恢复拍卖。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第十九条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被执行人在拍卖日之前向人民法院提交足额金钱清偿债务，要求停止拍卖的，人民法院应当准许，但被执行人应当负担因拍卖支出的必要费用。</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第二十条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拍卖成交或者以流拍的财产抵债的，人民法院应当</w:t>
      </w:r>
      <w:proofErr w:type="gramStart"/>
      <w:r w:rsidRPr="00A91C5C">
        <w:rPr>
          <w:rFonts w:ascii="微软雅黑" w:eastAsia="微软雅黑" w:hAnsi="微软雅黑" w:cs="宋体" w:hint="eastAsia"/>
          <w:sz w:val="24"/>
          <w:szCs w:val="24"/>
        </w:rPr>
        <w:t>作出</w:t>
      </w:r>
      <w:proofErr w:type="gramEnd"/>
      <w:r w:rsidRPr="00A91C5C">
        <w:rPr>
          <w:rFonts w:ascii="微软雅黑" w:eastAsia="微软雅黑" w:hAnsi="微软雅黑" w:cs="宋体" w:hint="eastAsia"/>
          <w:sz w:val="24"/>
          <w:szCs w:val="24"/>
        </w:rPr>
        <w:t>裁定，并于价款或者需要补交的差价全额交付后十日内，送达买受人或者承受人。</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第二十一条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拍卖成交后，买受人应当在拍卖公告确定的期限或者人民法院指定的期限内将价款交付到人民法院或者汇入人民法院指定的账户。</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第二十二条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拍卖成交或者以流拍的财产抵债后，买受人逾期未支付价款或者承受人逾期未补交差价而使拍卖、抵债的目的难以实现的，人民法院可以裁定重新拍卖。重新拍卖时，原买受人不得参加竞买。</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重新拍卖的价款低于原拍卖价款造成的差价、费用损失及原拍卖中的佣金，由原买受人承担。人民法院可以直接从其预交的保证金中扣除。扣除后保证金有剩余的，应当退还原买受人；保证金数额不足的，可以责令原买受人补交；拒不补交的，强制执行。</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第二十三条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拍卖时无人竞买或者竞买人的最高应价低于保留价，到场的申请执行人或者其他执行债权人不申请以该次拍卖所定的保留价抵债的，应当在六十日内再行拍卖。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lastRenderedPageBreak/>
        <w:t xml:space="preserve">　　</w:t>
      </w:r>
      <w:r w:rsidRPr="00A91C5C">
        <w:rPr>
          <w:rFonts w:ascii="微软雅黑" w:eastAsia="微软雅黑" w:hAnsi="微软雅黑" w:cs="宋体" w:hint="eastAsia"/>
          <w:b/>
          <w:sz w:val="24"/>
          <w:szCs w:val="24"/>
        </w:rPr>
        <w:t>第二十四条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对于第二次</w:t>
      </w:r>
      <w:proofErr w:type="gramStart"/>
      <w:r w:rsidRPr="00A91C5C">
        <w:rPr>
          <w:rFonts w:ascii="微软雅黑" w:eastAsia="微软雅黑" w:hAnsi="微软雅黑" w:cs="宋体" w:hint="eastAsia"/>
          <w:sz w:val="24"/>
          <w:szCs w:val="24"/>
        </w:rPr>
        <w:t>拍卖仍流</w:t>
      </w:r>
      <w:proofErr w:type="gramEnd"/>
      <w:r w:rsidRPr="00A91C5C">
        <w:rPr>
          <w:rFonts w:ascii="微软雅黑" w:eastAsia="微软雅黑" w:hAnsi="微软雅黑" w:cs="宋体" w:hint="eastAsia"/>
          <w:sz w:val="24"/>
          <w:szCs w:val="24"/>
        </w:rPr>
        <w:t>拍的动产，人民法院可以依照本规定第十六条的规定将其作价交申请执行人或者其他执行债权人抵债。申请执行人或者其他执行债权人拒绝接受或者依法不能交付其抵债的，人民法院应当解除查封、扣押，并将该动产退还被执行人。</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第二十五条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对于第二次</w:t>
      </w:r>
      <w:proofErr w:type="gramStart"/>
      <w:r w:rsidRPr="00A91C5C">
        <w:rPr>
          <w:rFonts w:ascii="微软雅黑" w:eastAsia="微软雅黑" w:hAnsi="微软雅黑" w:cs="宋体" w:hint="eastAsia"/>
          <w:sz w:val="24"/>
          <w:szCs w:val="24"/>
        </w:rPr>
        <w:t>拍卖仍流</w:t>
      </w:r>
      <w:proofErr w:type="gramEnd"/>
      <w:r w:rsidRPr="00A91C5C">
        <w:rPr>
          <w:rFonts w:ascii="微软雅黑" w:eastAsia="微软雅黑" w:hAnsi="微软雅黑" w:cs="宋体" w:hint="eastAsia"/>
          <w:sz w:val="24"/>
          <w:szCs w:val="24"/>
        </w:rPr>
        <w:t>拍的不动产或者其他财产权，人民法院可以依照本规定第十六条的规定将其作价交申请执行人或者其他执行债权人抵债。申请执行人或者其他执行债权人拒绝接受或者依法不能交付其抵债的，应当在六十日内进行第三次拍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第三次拍卖</w:t>
      </w:r>
      <w:proofErr w:type="gramStart"/>
      <w:r w:rsidRPr="00A91C5C">
        <w:rPr>
          <w:rFonts w:ascii="微软雅黑" w:eastAsia="微软雅黑" w:hAnsi="微软雅黑" w:cs="宋体" w:hint="eastAsia"/>
          <w:sz w:val="24"/>
          <w:szCs w:val="24"/>
        </w:rPr>
        <w:t>流拍且申请</w:t>
      </w:r>
      <w:proofErr w:type="gramEnd"/>
      <w:r w:rsidRPr="00A91C5C">
        <w:rPr>
          <w:rFonts w:ascii="微软雅黑" w:eastAsia="微软雅黑" w:hAnsi="微软雅黑" w:cs="宋体" w:hint="eastAsia"/>
          <w:sz w:val="24"/>
          <w:szCs w:val="24"/>
        </w:rPr>
        <w:t>执行人或者其他执行债权人拒绝接受或者依法不能接受该不动产或者其他财产权抵债的，人民法院应当于第三次拍卖终结之日起七日内发出变卖公告。自公告之日起六十日内没有买受人愿意以第三次拍卖的保留价买受该财产，且申请执行人、其他执行债权人仍不表示接受该财产抵债的，应当解除查封、冻结，将该财产退还被执行人，但对该财产可以采取其他执行措施的除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第二十六条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不动产、动产或者其他财产权拍卖成交或者抵债后，该不动产、动产的所有权、其他财产权自拍卖成交或者抵债裁定送达买受人或者承受人时起转移。</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第二十七条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人民法院裁定拍卖成交或者以流拍的财产抵债后，除有依法不能移交的情形外，应当于裁定送达后十五日内，将拍卖的财产移交买受人或者承受人。被执行人或者第三人占有拍卖财产应当移交而拒不移交的，强制执行。</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第二十八条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拍卖财产上原有的担保物权及其他优先受偿权，因拍卖而消灭，拍卖所得价款，应当优先清偿担保物权人及其他优先受偿权人的债权，但当事人另有约定的除外。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拍卖财产上原有的租赁权及其他用益物权，不因拍卖而消灭，但该权利继续存在于拍卖财产上，对在先的担保物权或者其他优先受偿权的实现有影响的，人民法院应当依法将其除去后进行拍卖。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第二十九条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拍卖成交的，拍卖机构可以按照下列比例向买受人收取佣金：</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拍卖成交价200万元以下的，收取佣金的比例不得超过5％；超过200万元至1000万元的部分，不得超过3％；超过1000万元至5000万元的部分，不得超过2％；超过5000万元至1亿元的部分，不得超过1％；超过1亿元的部分，不得超过0.5％。</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采取公开招标方式确定拍卖机构的，按照中标方案确定的数额收取佣金。</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拍卖未成交或者非因拍卖机构的原因撤回拍卖委托的，拍卖机构为本次拍卖已经支出的合理费用，应当由被执行人负担。</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第三十条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在执行程序中拍卖上市公司国有股和社会法人股的，适用最高人民法院《关于冻结、拍卖上市公司国有股和社会法人股若干问题的规定》。</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第三十一条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对查封、扣押、冻结的财产，当事人双方及有关权利人同意变卖的，可以变卖。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金银及其制品、当地市场有公开交易价格的动产、易腐烂变质的物品、季节性商品、保管困难或者保管费用过高的物品，人民法院可以决定变卖。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第三十二条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当事人双方及有关权利人对变卖财产的价格有约定的，按照其约定价格变卖；无约定价格但有市价的，变卖价格不得低于市价；无市价但价值较大、价格不易确定的，应当委托评估机构进行评估，并按照评估价格进行变卖。</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按照评估价格变卖不成的，可以降低价格变卖，但最低的变卖价不得低于评估价的二分之一。</w:t>
      </w:r>
    </w:p>
    <w:p w:rsidR="009F3D49"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变卖的财产无人应买的，适用本规定第十六条的规定将该财产交申请执行人或者其他执行债权人抵债；申请执行人或者其他执行债权人拒绝接受或者依法不能交付其抵债的，人民法院应当解除查封、扣押，并将该财产退还被执行人。</w:t>
      </w:r>
    </w:p>
    <w:p w:rsidR="00D81223" w:rsidRPr="00A91C5C" w:rsidRDefault="009F3D49" w:rsidP="00A91C5C">
      <w:pPr>
        <w:pStyle w:val="a3"/>
        <w:spacing w:line="340" w:lineRule="exact"/>
        <w:rPr>
          <w:rFonts w:ascii="微软雅黑" w:eastAsia="微软雅黑" w:hAnsi="微软雅黑" w:cs="宋体"/>
          <w:sz w:val="24"/>
          <w:szCs w:val="24"/>
        </w:rPr>
      </w:pPr>
      <w:r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b/>
          <w:sz w:val="24"/>
          <w:szCs w:val="24"/>
        </w:rPr>
        <w:t>第三十三条</w:t>
      </w:r>
      <w:r w:rsidR="007B1861" w:rsidRPr="00A91C5C">
        <w:rPr>
          <w:rFonts w:ascii="微软雅黑" w:eastAsia="微软雅黑" w:hAnsi="微软雅黑" w:cs="宋体" w:hint="eastAsia"/>
          <w:sz w:val="24"/>
          <w:szCs w:val="24"/>
        </w:rPr>
        <w:t xml:space="preserve">　</w:t>
      </w:r>
      <w:r w:rsidRPr="00A91C5C">
        <w:rPr>
          <w:rFonts w:ascii="微软雅黑" w:eastAsia="微软雅黑" w:hAnsi="微软雅黑" w:cs="宋体" w:hint="eastAsia"/>
          <w:sz w:val="24"/>
          <w:szCs w:val="24"/>
        </w:rPr>
        <w:t>本规定自2005年1月1日起施行。施行前本院公布的司法解释与本规定不一致的，以本规定为准。</w:t>
      </w:r>
    </w:p>
    <w:sectPr w:rsidR="00D81223" w:rsidRPr="00A91C5C" w:rsidSect="00A91C5C">
      <w:footerReference w:type="even" r:id="rId8"/>
      <w:footerReference w:type="default" r:id="rId9"/>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6A0" w:rsidRDefault="00B646A0">
      <w:r>
        <w:separator/>
      </w:r>
    </w:p>
  </w:endnote>
  <w:endnote w:type="continuationSeparator" w:id="0">
    <w:p w:rsidR="00B646A0" w:rsidRDefault="00B6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3669BD"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Pr="00F15524" w:rsidRDefault="00F15524" w:rsidP="00A91C5C">
    <w:pPr>
      <w:pStyle w:val="a5"/>
      <w:framePr w:w="601" w:h="331" w:hRule="exact" w:wrap="around" w:vAnchor="text" w:hAnchor="page" w:x="10561" w:y="-237"/>
      <w:rPr>
        <w:rStyle w:val="a6"/>
        <w:rFonts w:asciiTheme="minorEastAsia" w:eastAsiaTheme="minorEastAsia" w:hAnsiTheme="minorEastAsia"/>
        <w:sz w:val="28"/>
        <w:szCs w:val="28"/>
      </w:rPr>
    </w:pPr>
    <w:r w:rsidRPr="00F15524">
      <w:rPr>
        <w:rStyle w:val="a6"/>
        <w:rFonts w:asciiTheme="minorEastAsia" w:eastAsiaTheme="minorEastAsia" w:hAnsiTheme="minorEastAsia" w:hint="eastAsia"/>
        <w:sz w:val="28"/>
        <w:szCs w:val="28"/>
      </w:rPr>
      <w:t xml:space="preserve">- </w:t>
    </w:r>
    <w:r w:rsidR="003669BD" w:rsidRPr="00F15524">
      <w:rPr>
        <w:rStyle w:val="a6"/>
        <w:rFonts w:asciiTheme="minorEastAsia" w:eastAsiaTheme="minorEastAsia" w:hAnsiTheme="minorEastAsia"/>
        <w:sz w:val="28"/>
        <w:szCs w:val="28"/>
      </w:rPr>
      <w:fldChar w:fldCharType="begin"/>
    </w:r>
    <w:r w:rsidR="0013090E" w:rsidRPr="00F15524">
      <w:rPr>
        <w:rStyle w:val="a6"/>
        <w:rFonts w:asciiTheme="minorEastAsia" w:eastAsiaTheme="minorEastAsia" w:hAnsiTheme="minorEastAsia"/>
        <w:sz w:val="28"/>
        <w:szCs w:val="28"/>
      </w:rPr>
      <w:instrText xml:space="preserve">PAGE  </w:instrText>
    </w:r>
    <w:r w:rsidR="003669BD" w:rsidRPr="00F15524">
      <w:rPr>
        <w:rStyle w:val="a6"/>
        <w:rFonts w:asciiTheme="minorEastAsia" w:eastAsiaTheme="minorEastAsia" w:hAnsiTheme="minorEastAsia"/>
        <w:sz w:val="28"/>
        <w:szCs w:val="28"/>
      </w:rPr>
      <w:fldChar w:fldCharType="separate"/>
    </w:r>
    <w:r w:rsidR="00215715">
      <w:rPr>
        <w:rStyle w:val="a6"/>
        <w:rFonts w:asciiTheme="minorEastAsia" w:eastAsiaTheme="minorEastAsia" w:hAnsiTheme="minorEastAsia"/>
        <w:noProof/>
        <w:sz w:val="28"/>
        <w:szCs w:val="28"/>
      </w:rPr>
      <w:t>2</w:t>
    </w:r>
    <w:r w:rsidR="003669BD" w:rsidRPr="00F15524">
      <w:rPr>
        <w:rStyle w:val="a6"/>
        <w:rFonts w:asciiTheme="minorEastAsia" w:eastAsiaTheme="minorEastAsia" w:hAnsiTheme="minorEastAsia"/>
        <w:sz w:val="28"/>
        <w:szCs w:val="28"/>
      </w:rPr>
      <w:fldChar w:fldCharType="end"/>
    </w:r>
    <w:r w:rsidRPr="00F15524">
      <w:rPr>
        <w:rStyle w:val="a6"/>
        <w:rFonts w:asciiTheme="minorEastAsia" w:eastAsiaTheme="minorEastAsia" w:hAnsiTheme="minorEastAsia" w:hint="eastAsia"/>
        <w:sz w:val="28"/>
        <w:szCs w:val="28"/>
      </w:rPr>
      <w:t xml:space="preserve"> -</w:t>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6A0" w:rsidRDefault="00B646A0">
      <w:r>
        <w:separator/>
      </w:r>
    </w:p>
  </w:footnote>
  <w:footnote w:type="continuationSeparator" w:id="0">
    <w:p w:rsidR="00B646A0" w:rsidRDefault="00B64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35F77"/>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0C82"/>
    <w:rsid w:val="001778DA"/>
    <w:rsid w:val="001A7520"/>
    <w:rsid w:val="001B131A"/>
    <w:rsid w:val="001B153F"/>
    <w:rsid w:val="001B6523"/>
    <w:rsid w:val="001D4E14"/>
    <w:rsid w:val="001D5662"/>
    <w:rsid w:val="001E1AB1"/>
    <w:rsid w:val="002064F7"/>
    <w:rsid w:val="00206B2B"/>
    <w:rsid w:val="0021015E"/>
    <w:rsid w:val="00215715"/>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669BD"/>
    <w:rsid w:val="00374592"/>
    <w:rsid w:val="00384827"/>
    <w:rsid w:val="003854B1"/>
    <w:rsid w:val="003871CA"/>
    <w:rsid w:val="003902DE"/>
    <w:rsid w:val="00390825"/>
    <w:rsid w:val="00394561"/>
    <w:rsid w:val="00395336"/>
    <w:rsid w:val="003A0D40"/>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A7D6B"/>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95A57"/>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1861"/>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6AA9"/>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9F3D49"/>
    <w:rsid w:val="00A02039"/>
    <w:rsid w:val="00A04BD7"/>
    <w:rsid w:val="00A131D2"/>
    <w:rsid w:val="00A20EDD"/>
    <w:rsid w:val="00A212C7"/>
    <w:rsid w:val="00A23406"/>
    <w:rsid w:val="00A27EDD"/>
    <w:rsid w:val="00A35D41"/>
    <w:rsid w:val="00A367C4"/>
    <w:rsid w:val="00A40953"/>
    <w:rsid w:val="00A44C88"/>
    <w:rsid w:val="00A459E3"/>
    <w:rsid w:val="00A571FE"/>
    <w:rsid w:val="00A636AF"/>
    <w:rsid w:val="00A773EC"/>
    <w:rsid w:val="00A91C5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36EA5"/>
    <w:rsid w:val="00B47F03"/>
    <w:rsid w:val="00B55F35"/>
    <w:rsid w:val="00B62010"/>
    <w:rsid w:val="00B6417D"/>
    <w:rsid w:val="00B646A0"/>
    <w:rsid w:val="00B712AC"/>
    <w:rsid w:val="00B82084"/>
    <w:rsid w:val="00B95E1A"/>
    <w:rsid w:val="00BB42A2"/>
    <w:rsid w:val="00BB4808"/>
    <w:rsid w:val="00BD62E5"/>
    <w:rsid w:val="00BD715F"/>
    <w:rsid w:val="00BD7A11"/>
    <w:rsid w:val="00BE0134"/>
    <w:rsid w:val="00BE421E"/>
    <w:rsid w:val="00BE428E"/>
    <w:rsid w:val="00BE6A42"/>
    <w:rsid w:val="00BE737A"/>
    <w:rsid w:val="00BF009A"/>
    <w:rsid w:val="00BF0597"/>
    <w:rsid w:val="00BF2167"/>
    <w:rsid w:val="00BF4E21"/>
    <w:rsid w:val="00BF6AB5"/>
    <w:rsid w:val="00C03182"/>
    <w:rsid w:val="00C10C97"/>
    <w:rsid w:val="00C33ACA"/>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C3E4C"/>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15524"/>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C88969-1E30-4DAA-880A-B7823105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6703D-B151-49FE-BC84-4BD50569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642</Words>
  <Characters>3666</Characters>
  <Application>Microsoft Office Word</Application>
  <DocSecurity>0</DocSecurity>
  <Lines>30</Lines>
  <Paragraphs>8</Paragraphs>
  <ScaleCrop>false</ScaleCrop>
  <Company>Lenovo (Beijing) Limited</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18</cp:revision>
  <cp:lastPrinted>2014-04-03T09:04:00Z</cp:lastPrinted>
  <dcterms:created xsi:type="dcterms:W3CDTF">2021-03-02T07:01:00Z</dcterms:created>
  <dcterms:modified xsi:type="dcterms:W3CDTF">2025-08-22T03:31:00Z</dcterms:modified>
</cp:coreProperties>
</file>